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75" w:rsidRPr="00C461B7" w:rsidRDefault="00D13D75" w:rsidP="00C461B7">
      <w:pPr>
        <w:shd w:val="clear" w:color="auto" w:fill="FFFFFF"/>
        <w:spacing w:after="0"/>
        <w:jc w:val="center"/>
        <w:textAlignment w:val="baseline"/>
        <w:rPr>
          <w:rFonts w:ascii="Times New Roman" w:hAnsi="Times New Roman"/>
          <w:sz w:val="26"/>
          <w:szCs w:val="26"/>
          <w:lang w:val="uk-UA"/>
        </w:rPr>
      </w:pPr>
      <w:r>
        <w:rPr>
          <w:rFonts w:ascii="Times New Roman" w:hAnsi="Times New Roman"/>
          <w:b/>
          <w:bCs/>
          <w:sz w:val="26"/>
          <w:szCs w:val="26"/>
          <w:lang w:val="uk-UA"/>
        </w:rPr>
        <w:t>П</w:t>
      </w:r>
      <w:r w:rsidRPr="00C461B7">
        <w:rPr>
          <w:rFonts w:ascii="Times New Roman" w:hAnsi="Times New Roman"/>
          <w:b/>
          <w:bCs/>
          <w:sz w:val="26"/>
          <w:szCs w:val="26"/>
          <w:lang w:val="uk-UA"/>
        </w:rPr>
        <w:t>ОЯ</w:t>
      </w:r>
      <w:r>
        <w:rPr>
          <w:rFonts w:ascii="Times New Roman" w:hAnsi="Times New Roman"/>
          <w:b/>
          <w:bCs/>
          <w:sz w:val="26"/>
          <w:szCs w:val="26"/>
          <w:lang w:val="uk-UA"/>
        </w:rPr>
        <w:t xml:space="preserve">СНЮВАЛЬНА  </w:t>
      </w:r>
      <w:r w:rsidRPr="00C461B7">
        <w:rPr>
          <w:rFonts w:ascii="Times New Roman" w:hAnsi="Times New Roman"/>
          <w:b/>
          <w:bCs/>
          <w:sz w:val="26"/>
          <w:szCs w:val="26"/>
          <w:lang w:val="uk-UA"/>
        </w:rPr>
        <w:t>ЗАПИСКА</w:t>
      </w:r>
    </w:p>
    <w:p w:rsidR="00D13D75" w:rsidRPr="00C461B7" w:rsidRDefault="00D13D75" w:rsidP="00C461B7">
      <w:pPr>
        <w:shd w:val="clear" w:color="auto" w:fill="FFFFFF"/>
        <w:spacing w:after="0"/>
        <w:jc w:val="center"/>
        <w:textAlignment w:val="baseline"/>
        <w:rPr>
          <w:rFonts w:ascii="Times New Roman" w:hAnsi="Times New Roman"/>
          <w:sz w:val="26"/>
          <w:szCs w:val="26"/>
          <w:lang w:val="uk-UA"/>
        </w:rPr>
      </w:pPr>
      <w:r w:rsidRPr="00C461B7">
        <w:rPr>
          <w:rFonts w:ascii="Times New Roman" w:hAnsi="Times New Roman"/>
          <w:b/>
          <w:bCs/>
          <w:sz w:val="26"/>
          <w:szCs w:val="26"/>
          <w:lang w:val="uk-UA"/>
        </w:rPr>
        <w:t xml:space="preserve">до звіту </w:t>
      </w:r>
      <w:r>
        <w:rPr>
          <w:rFonts w:ascii="Times New Roman" w:hAnsi="Times New Roman"/>
          <w:b/>
          <w:bCs/>
          <w:sz w:val="26"/>
          <w:szCs w:val="26"/>
          <w:lang w:val="uk-UA"/>
        </w:rPr>
        <w:t>про виконання фінансового плану</w:t>
      </w:r>
      <w:r w:rsidRPr="00C461B7">
        <w:rPr>
          <w:rFonts w:ascii="Times New Roman" w:hAnsi="Times New Roman"/>
          <w:b/>
          <w:bCs/>
          <w:sz w:val="26"/>
          <w:szCs w:val="26"/>
          <w:lang w:val="uk-UA"/>
        </w:rPr>
        <w:t xml:space="preserve"> за 2019 рік</w:t>
      </w:r>
    </w:p>
    <w:p w:rsidR="00D13D75" w:rsidRPr="00C461B7" w:rsidRDefault="00D13D75" w:rsidP="00C461B7">
      <w:pPr>
        <w:shd w:val="clear" w:color="auto" w:fill="FFFFFF"/>
        <w:spacing w:after="0"/>
        <w:jc w:val="center"/>
        <w:textAlignment w:val="baseline"/>
        <w:rPr>
          <w:rFonts w:ascii="Times New Roman" w:hAnsi="Times New Roman"/>
          <w:sz w:val="26"/>
          <w:szCs w:val="26"/>
          <w:lang w:val="uk-UA"/>
        </w:rPr>
      </w:pPr>
      <w:r>
        <w:rPr>
          <w:rFonts w:ascii="Times New Roman" w:hAnsi="Times New Roman"/>
          <w:b/>
          <w:bCs/>
          <w:sz w:val="26"/>
          <w:szCs w:val="26"/>
          <w:lang w:val="uk-UA"/>
        </w:rPr>
        <w:t>к</w:t>
      </w:r>
      <w:r w:rsidRPr="00C461B7">
        <w:rPr>
          <w:rFonts w:ascii="Times New Roman" w:hAnsi="Times New Roman"/>
          <w:b/>
          <w:bCs/>
          <w:sz w:val="26"/>
          <w:szCs w:val="26"/>
          <w:lang w:val="uk-UA"/>
        </w:rPr>
        <w:t xml:space="preserve">омунального підприємства НМР </w:t>
      </w:r>
      <w:r>
        <w:rPr>
          <w:rFonts w:ascii="Times New Roman" w:hAnsi="Times New Roman"/>
          <w:b/>
          <w:bCs/>
          <w:sz w:val="26"/>
          <w:szCs w:val="26"/>
          <w:lang w:val="uk-UA"/>
        </w:rPr>
        <w:t>«</w:t>
      </w:r>
      <w:r w:rsidRPr="00C461B7">
        <w:rPr>
          <w:rFonts w:ascii="Times New Roman" w:hAnsi="Times New Roman"/>
          <w:b/>
          <w:bCs/>
          <w:sz w:val="26"/>
          <w:szCs w:val="26"/>
          <w:lang w:val="uk-UA"/>
        </w:rPr>
        <w:t>Агенція місцевого розвитку</w:t>
      </w:r>
      <w:r>
        <w:rPr>
          <w:rFonts w:ascii="Times New Roman" w:hAnsi="Times New Roman"/>
          <w:b/>
          <w:bCs/>
          <w:sz w:val="26"/>
          <w:szCs w:val="26"/>
          <w:lang w:val="uk-UA"/>
        </w:rPr>
        <w:t>»</w:t>
      </w:r>
      <w:r w:rsidRPr="00C461B7">
        <w:rPr>
          <w:rFonts w:ascii="Times New Roman" w:hAnsi="Times New Roman"/>
          <w:b/>
          <w:bCs/>
          <w:sz w:val="26"/>
          <w:szCs w:val="26"/>
          <w:lang w:val="uk-UA"/>
        </w:rPr>
        <w:t xml:space="preserve"> </w:t>
      </w:r>
    </w:p>
    <w:p w:rsidR="00D13D75" w:rsidRPr="00C461B7" w:rsidRDefault="00D13D75" w:rsidP="00C461B7">
      <w:pPr>
        <w:spacing w:after="0"/>
        <w:ind w:firstLine="567"/>
        <w:jc w:val="both"/>
        <w:rPr>
          <w:rFonts w:ascii="Times New Roman" w:hAnsi="Times New Roman"/>
          <w:sz w:val="26"/>
          <w:szCs w:val="26"/>
          <w:lang w:val="uk-UA"/>
        </w:rPr>
      </w:pPr>
    </w:p>
    <w:p w:rsidR="00D13D75" w:rsidRDefault="00D13D75" w:rsidP="00C461B7">
      <w:pPr>
        <w:spacing w:after="0"/>
        <w:ind w:firstLine="708"/>
        <w:jc w:val="both"/>
        <w:rPr>
          <w:rFonts w:ascii="Times New Roman" w:hAnsi="Times New Roman"/>
          <w:sz w:val="26"/>
          <w:szCs w:val="26"/>
          <w:lang w:val="uk-UA"/>
        </w:rPr>
      </w:pPr>
      <w:r>
        <w:rPr>
          <w:rFonts w:ascii="Times New Roman" w:hAnsi="Times New Roman"/>
          <w:sz w:val="26"/>
          <w:szCs w:val="26"/>
          <w:lang w:val="uk-UA"/>
        </w:rPr>
        <w:t>КП НМР «</w:t>
      </w:r>
      <w:r w:rsidRPr="00C461B7">
        <w:rPr>
          <w:rFonts w:ascii="Times New Roman" w:hAnsi="Times New Roman"/>
          <w:sz w:val="26"/>
          <w:szCs w:val="26"/>
          <w:lang w:val="uk-UA"/>
        </w:rPr>
        <w:t>Агенція місцевого розвитку</w:t>
      </w:r>
      <w:r>
        <w:rPr>
          <w:rFonts w:ascii="Times New Roman" w:hAnsi="Times New Roman"/>
          <w:sz w:val="26"/>
          <w:szCs w:val="26"/>
          <w:lang w:val="uk-UA"/>
        </w:rPr>
        <w:t>»</w:t>
      </w:r>
      <w:r w:rsidRPr="00C461B7">
        <w:rPr>
          <w:rFonts w:ascii="Times New Roman" w:hAnsi="Times New Roman"/>
          <w:sz w:val="26"/>
          <w:szCs w:val="26"/>
          <w:lang w:val="uk-UA"/>
        </w:rPr>
        <w:t xml:space="preserve"> здійснює свою діяльність згідно статуту КП НМР </w:t>
      </w:r>
      <w:r>
        <w:rPr>
          <w:rFonts w:ascii="Times New Roman" w:hAnsi="Times New Roman"/>
          <w:sz w:val="26"/>
          <w:szCs w:val="26"/>
          <w:lang w:val="uk-UA"/>
        </w:rPr>
        <w:t>«</w:t>
      </w:r>
      <w:r w:rsidRPr="00C461B7">
        <w:rPr>
          <w:rFonts w:ascii="Times New Roman" w:hAnsi="Times New Roman"/>
          <w:sz w:val="26"/>
          <w:szCs w:val="26"/>
          <w:lang w:val="uk-UA"/>
        </w:rPr>
        <w:t>Агенція місцевог</w:t>
      </w:r>
      <w:r>
        <w:rPr>
          <w:rFonts w:ascii="Times New Roman" w:hAnsi="Times New Roman"/>
          <w:sz w:val="26"/>
          <w:szCs w:val="26"/>
          <w:lang w:val="uk-UA"/>
        </w:rPr>
        <w:t xml:space="preserve">о розвитку», який затверджений </w:t>
      </w:r>
      <w:r w:rsidRPr="00C461B7">
        <w:rPr>
          <w:rFonts w:ascii="Times New Roman" w:hAnsi="Times New Roman"/>
          <w:sz w:val="26"/>
          <w:szCs w:val="26"/>
          <w:lang w:val="uk-UA"/>
        </w:rPr>
        <w:t>рішення п</w:t>
      </w:r>
      <w:r>
        <w:rPr>
          <w:rFonts w:ascii="Times New Roman" w:hAnsi="Times New Roman"/>
          <w:sz w:val="26"/>
          <w:szCs w:val="26"/>
          <w:lang w:val="uk-UA"/>
        </w:rPr>
        <w:t>’ятдесят другої</w:t>
      </w:r>
      <w:r w:rsidRPr="00C461B7">
        <w:rPr>
          <w:rFonts w:ascii="Times New Roman" w:hAnsi="Times New Roman"/>
          <w:sz w:val="26"/>
          <w:szCs w:val="26"/>
          <w:lang w:val="uk-UA"/>
        </w:rPr>
        <w:t xml:space="preserve"> </w:t>
      </w:r>
      <w:r>
        <w:rPr>
          <w:rFonts w:ascii="Times New Roman" w:hAnsi="Times New Roman"/>
          <w:sz w:val="26"/>
          <w:szCs w:val="26"/>
          <w:lang w:val="uk-UA"/>
        </w:rPr>
        <w:t>сесії Нетішинської міської ради</w:t>
      </w:r>
      <w:r w:rsidRPr="00C461B7">
        <w:rPr>
          <w:rFonts w:ascii="Times New Roman" w:hAnsi="Times New Roman"/>
          <w:sz w:val="26"/>
          <w:szCs w:val="26"/>
          <w:lang w:val="uk-UA"/>
        </w:rPr>
        <w:t xml:space="preserve"> VІІ скликання від 01 березня </w:t>
      </w:r>
      <w:r>
        <w:rPr>
          <w:rFonts w:ascii="Times New Roman" w:hAnsi="Times New Roman"/>
          <w:sz w:val="26"/>
          <w:szCs w:val="26"/>
          <w:lang w:val="uk-UA"/>
        </w:rPr>
        <w:t xml:space="preserve">              </w:t>
      </w:r>
      <w:r w:rsidRPr="00C461B7">
        <w:rPr>
          <w:rFonts w:ascii="Times New Roman" w:hAnsi="Times New Roman"/>
          <w:sz w:val="26"/>
          <w:szCs w:val="26"/>
          <w:lang w:val="uk-UA"/>
        </w:rPr>
        <w:t>2019 року №</w:t>
      </w:r>
      <w:r>
        <w:rPr>
          <w:rFonts w:ascii="Times New Roman" w:hAnsi="Times New Roman"/>
          <w:sz w:val="26"/>
          <w:szCs w:val="26"/>
          <w:lang w:val="uk-UA"/>
        </w:rPr>
        <w:t xml:space="preserve"> </w:t>
      </w:r>
      <w:r w:rsidRPr="00C461B7">
        <w:rPr>
          <w:rFonts w:ascii="Times New Roman" w:hAnsi="Times New Roman"/>
          <w:sz w:val="26"/>
          <w:szCs w:val="26"/>
          <w:lang w:val="uk-UA"/>
        </w:rPr>
        <w:t xml:space="preserve">52/3513 </w:t>
      </w:r>
      <w:r>
        <w:rPr>
          <w:rFonts w:ascii="Times New Roman" w:hAnsi="Times New Roman"/>
          <w:sz w:val="26"/>
          <w:szCs w:val="26"/>
          <w:lang w:val="uk-UA"/>
        </w:rPr>
        <w:t>«</w:t>
      </w:r>
      <w:r w:rsidRPr="00C461B7">
        <w:rPr>
          <w:rFonts w:ascii="Times New Roman" w:hAnsi="Times New Roman"/>
          <w:sz w:val="26"/>
          <w:szCs w:val="26"/>
          <w:lang w:val="uk-UA"/>
        </w:rPr>
        <w:t xml:space="preserve">Про збільшення розміру статутного капіталу та затвердження статуту комунального підприємства Нетішинської міської ради </w:t>
      </w:r>
      <w:r>
        <w:rPr>
          <w:rFonts w:ascii="Times New Roman" w:hAnsi="Times New Roman"/>
          <w:sz w:val="26"/>
          <w:szCs w:val="26"/>
          <w:lang w:val="uk-UA"/>
        </w:rPr>
        <w:t>«</w:t>
      </w:r>
      <w:r w:rsidRPr="00C461B7">
        <w:rPr>
          <w:rFonts w:ascii="Times New Roman" w:hAnsi="Times New Roman"/>
          <w:sz w:val="26"/>
          <w:szCs w:val="26"/>
          <w:lang w:val="uk-UA"/>
        </w:rPr>
        <w:t>Агенція місцевого розвитку</w:t>
      </w:r>
      <w:r>
        <w:rPr>
          <w:rFonts w:ascii="Times New Roman" w:hAnsi="Times New Roman"/>
          <w:sz w:val="26"/>
          <w:szCs w:val="26"/>
          <w:lang w:val="uk-UA"/>
        </w:rPr>
        <w:t>»</w:t>
      </w:r>
      <w:r w:rsidRPr="00C461B7">
        <w:rPr>
          <w:rFonts w:ascii="Times New Roman" w:hAnsi="Times New Roman"/>
          <w:sz w:val="26"/>
          <w:szCs w:val="26"/>
          <w:lang w:val="uk-UA"/>
        </w:rPr>
        <w:t>.</w:t>
      </w:r>
    </w:p>
    <w:p w:rsidR="00D13D75" w:rsidRDefault="00D13D75" w:rsidP="00C461B7">
      <w:pPr>
        <w:spacing w:after="0"/>
        <w:ind w:firstLine="708"/>
        <w:jc w:val="both"/>
        <w:rPr>
          <w:rFonts w:ascii="Times New Roman" w:hAnsi="Times New Roman"/>
          <w:sz w:val="26"/>
          <w:szCs w:val="26"/>
          <w:lang w:val="uk-UA"/>
        </w:rPr>
      </w:pPr>
      <w:r w:rsidRPr="00C461B7">
        <w:rPr>
          <w:rFonts w:ascii="Times New Roman" w:hAnsi="Times New Roman"/>
          <w:sz w:val="26"/>
          <w:szCs w:val="26"/>
          <w:lang w:val="uk-UA"/>
        </w:rPr>
        <w:t xml:space="preserve">Діє в рамках програми </w:t>
      </w:r>
      <w:r>
        <w:rPr>
          <w:rFonts w:ascii="Times New Roman" w:hAnsi="Times New Roman"/>
          <w:sz w:val="26"/>
          <w:szCs w:val="26"/>
          <w:lang w:val="uk-UA"/>
        </w:rPr>
        <w:t>«</w:t>
      </w:r>
      <w:r w:rsidRPr="00C461B7">
        <w:rPr>
          <w:rFonts w:ascii="Times New Roman" w:hAnsi="Times New Roman"/>
          <w:sz w:val="26"/>
          <w:szCs w:val="26"/>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w:t>
      </w:r>
      <w:r>
        <w:rPr>
          <w:rFonts w:ascii="Times New Roman" w:hAnsi="Times New Roman"/>
          <w:sz w:val="26"/>
          <w:szCs w:val="26"/>
          <w:lang w:val="uk-UA"/>
        </w:rPr>
        <w:t>»</w:t>
      </w:r>
      <w:r w:rsidRPr="00C461B7">
        <w:rPr>
          <w:rFonts w:ascii="Times New Roman" w:hAnsi="Times New Roman"/>
          <w:sz w:val="26"/>
          <w:szCs w:val="26"/>
          <w:lang w:val="uk-UA"/>
        </w:rPr>
        <w:t xml:space="preserve"> на 2019-2020 роки, яка затверджена 23.11.2018 року </w:t>
      </w:r>
      <w:r>
        <w:rPr>
          <w:rFonts w:ascii="Times New Roman" w:hAnsi="Times New Roman"/>
          <w:sz w:val="26"/>
          <w:szCs w:val="26"/>
          <w:lang w:val="uk-UA"/>
        </w:rPr>
        <w:t xml:space="preserve">№47/3266 рішенням сорок сьомої </w:t>
      </w:r>
      <w:r w:rsidRPr="00C461B7">
        <w:rPr>
          <w:rFonts w:ascii="Times New Roman" w:hAnsi="Times New Roman"/>
          <w:sz w:val="26"/>
          <w:szCs w:val="26"/>
          <w:lang w:val="uk-UA"/>
        </w:rPr>
        <w:t>сесії Нетішинськ</w:t>
      </w:r>
      <w:r>
        <w:rPr>
          <w:rFonts w:ascii="Times New Roman" w:hAnsi="Times New Roman"/>
          <w:sz w:val="26"/>
          <w:szCs w:val="26"/>
          <w:lang w:val="uk-UA"/>
        </w:rPr>
        <w:t xml:space="preserve">ої міської ради    VII скликання, </w:t>
      </w:r>
      <w:r w:rsidRPr="00C461B7">
        <w:rPr>
          <w:rFonts w:ascii="Times New Roman" w:hAnsi="Times New Roman"/>
          <w:sz w:val="26"/>
          <w:szCs w:val="26"/>
          <w:lang w:val="uk-UA"/>
        </w:rPr>
        <w:t>з внесеними змінами від 12.04.2019 року №</w:t>
      </w:r>
      <w:r>
        <w:rPr>
          <w:rFonts w:ascii="Times New Roman" w:hAnsi="Times New Roman"/>
          <w:sz w:val="26"/>
          <w:szCs w:val="26"/>
          <w:lang w:val="uk-UA"/>
        </w:rPr>
        <w:t xml:space="preserve"> </w:t>
      </w:r>
      <w:r w:rsidRPr="00C461B7">
        <w:rPr>
          <w:rFonts w:ascii="Times New Roman" w:hAnsi="Times New Roman"/>
          <w:sz w:val="26"/>
          <w:szCs w:val="26"/>
          <w:lang w:val="uk-UA"/>
        </w:rPr>
        <w:t>54/3625 Пр</w:t>
      </w:r>
      <w:r>
        <w:rPr>
          <w:rFonts w:ascii="Times New Roman" w:hAnsi="Times New Roman"/>
          <w:sz w:val="26"/>
          <w:szCs w:val="26"/>
          <w:lang w:val="uk-UA"/>
        </w:rPr>
        <w:t xml:space="preserve">о внесення змін до сорок сьомої </w:t>
      </w:r>
      <w:r w:rsidRPr="00C461B7">
        <w:rPr>
          <w:rFonts w:ascii="Times New Roman" w:hAnsi="Times New Roman"/>
          <w:sz w:val="26"/>
          <w:szCs w:val="26"/>
          <w:lang w:val="uk-UA"/>
        </w:rPr>
        <w:t xml:space="preserve">сесії Нетішинської міської ради VII скликання від 23.11.2018 року №47/3266 </w:t>
      </w:r>
      <w:r>
        <w:rPr>
          <w:rFonts w:ascii="Times New Roman" w:hAnsi="Times New Roman"/>
          <w:sz w:val="26"/>
          <w:szCs w:val="26"/>
          <w:lang w:val="uk-UA"/>
        </w:rPr>
        <w:t>«</w:t>
      </w:r>
      <w:r w:rsidRPr="00C461B7">
        <w:rPr>
          <w:rFonts w:ascii="Times New Roman" w:hAnsi="Times New Roman"/>
          <w:sz w:val="26"/>
          <w:szCs w:val="26"/>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w:t>
      </w:r>
      <w:r>
        <w:rPr>
          <w:rFonts w:ascii="Times New Roman" w:hAnsi="Times New Roman"/>
          <w:sz w:val="26"/>
          <w:szCs w:val="26"/>
          <w:lang w:val="uk-UA"/>
        </w:rPr>
        <w:t>»</w:t>
      </w:r>
      <w:r w:rsidRPr="00C461B7">
        <w:rPr>
          <w:rFonts w:ascii="Times New Roman" w:hAnsi="Times New Roman"/>
          <w:sz w:val="26"/>
          <w:szCs w:val="26"/>
          <w:lang w:val="uk-UA"/>
        </w:rPr>
        <w:t xml:space="preserve"> на 2019-2020 роки</w:t>
      </w:r>
      <w:r>
        <w:rPr>
          <w:rFonts w:ascii="Times New Roman" w:hAnsi="Times New Roman"/>
          <w:sz w:val="26"/>
          <w:szCs w:val="26"/>
          <w:lang w:val="uk-UA"/>
        </w:rPr>
        <w:t>»</w:t>
      </w:r>
      <w:r w:rsidRPr="00C461B7">
        <w:rPr>
          <w:rFonts w:ascii="Times New Roman" w:hAnsi="Times New Roman"/>
          <w:sz w:val="26"/>
          <w:szCs w:val="26"/>
          <w:lang w:val="uk-UA"/>
        </w:rPr>
        <w:t>.</w:t>
      </w:r>
    </w:p>
    <w:p w:rsidR="00D13D75" w:rsidRPr="00C461B7" w:rsidRDefault="00D13D75" w:rsidP="00C461B7">
      <w:pPr>
        <w:spacing w:after="0"/>
        <w:ind w:firstLine="708"/>
        <w:jc w:val="both"/>
        <w:rPr>
          <w:rFonts w:ascii="Times New Roman" w:hAnsi="Times New Roman"/>
          <w:sz w:val="26"/>
          <w:szCs w:val="26"/>
          <w:lang w:val="uk-UA"/>
        </w:rPr>
      </w:pPr>
      <w:r w:rsidRPr="00C461B7">
        <w:rPr>
          <w:rFonts w:ascii="Times New Roman" w:hAnsi="Times New Roman"/>
          <w:sz w:val="26"/>
          <w:szCs w:val="26"/>
          <w:lang w:val="uk-UA"/>
        </w:rPr>
        <w:t>Підприємство засноване на комунальній формі власності територіальної громади міста Нетішин і входить до сфери управління Нетішинської міської ради , діє відповідно до Господарського кодексу України, Цивільного кодексу України, інших нормативно - правових актів .</w:t>
      </w:r>
    </w:p>
    <w:p w:rsidR="00D13D75" w:rsidRPr="00C461B7" w:rsidRDefault="00D13D75" w:rsidP="00C461B7">
      <w:pPr>
        <w:shd w:val="clear" w:color="auto" w:fill="FFFFFF"/>
        <w:spacing w:after="0"/>
        <w:ind w:firstLine="567"/>
        <w:textAlignment w:val="baseline"/>
        <w:rPr>
          <w:rFonts w:ascii="Times New Roman" w:hAnsi="Times New Roman"/>
          <w:sz w:val="26"/>
          <w:szCs w:val="26"/>
          <w:lang w:val="uk-UA"/>
        </w:rPr>
      </w:pPr>
      <w:r w:rsidRPr="00C461B7">
        <w:rPr>
          <w:rFonts w:ascii="Times New Roman" w:hAnsi="Times New Roman"/>
          <w:sz w:val="26"/>
          <w:szCs w:val="26"/>
          <w:lang w:val="uk-UA"/>
        </w:rPr>
        <w:t>Фінансове забезпечення  та  фінансові показники діяльності підприємства у 2019 році становлять :</w:t>
      </w:r>
    </w:p>
    <w:p w:rsidR="00D13D75" w:rsidRPr="00C461B7" w:rsidRDefault="00D13D75" w:rsidP="00C461B7">
      <w:pPr>
        <w:spacing w:after="0"/>
        <w:jc w:val="center"/>
        <w:rPr>
          <w:rFonts w:ascii="Times New Roman" w:hAnsi="Times New Roman"/>
          <w:b/>
          <w:sz w:val="26"/>
          <w:szCs w:val="26"/>
          <w:lang w:val="uk-UA"/>
        </w:rPr>
      </w:pPr>
      <w:r w:rsidRPr="00C461B7">
        <w:rPr>
          <w:rFonts w:ascii="Times New Roman" w:hAnsi="Times New Roman"/>
          <w:b/>
          <w:sz w:val="26"/>
          <w:szCs w:val="26"/>
          <w:lang w:val="uk-UA"/>
        </w:rPr>
        <w:t>ДОХОДИ:</w:t>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sz w:val="26"/>
          <w:szCs w:val="26"/>
          <w:lang w:val="uk-UA"/>
        </w:rPr>
        <w:t>тис. грн.</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4"/>
        <w:gridCol w:w="5687"/>
        <w:gridCol w:w="1852"/>
        <w:gridCol w:w="1529"/>
      </w:tblGrid>
      <w:tr w:rsidR="00D13D75" w:rsidRPr="00C461B7" w:rsidTr="0018025E">
        <w:trPr>
          <w:trHeight w:val="525"/>
        </w:trPr>
        <w:tc>
          <w:tcPr>
            <w:tcW w:w="1154"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 з/п</w:t>
            </w:r>
          </w:p>
        </w:tc>
        <w:tc>
          <w:tcPr>
            <w:tcW w:w="5687"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Стаття доходів</w:t>
            </w:r>
          </w:p>
        </w:tc>
        <w:tc>
          <w:tcPr>
            <w:tcW w:w="1852"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План 2019рік</w:t>
            </w:r>
          </w:p>
        </w:tc>
        <w:tc>
          <w:tcPr>
            <w:tcW w:w="1529"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Факт</w:t>
            </w:r>
          </w:p>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2019 року</w:t>
            </w:r>
          </w:p>
        </w:tc>
      </w:tr>
      <w:tr w:rsidR="00D13D75" w:rsidRPr="00C461B7" w:rsidTr="0018025E">
        <w:trPr>
          <w:trHeight w:val="1088"/>
        </w:trPr>
        <w:tc>
          <w:tcPr>
            <w:tcW w:w="1154"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sz w:val="26"/>
                <w:szCs w:val="26"/>
                <w:lang w:val="uk-UA"/>
              </w:rPr>
              <w:t>1</w:t>
            </w:r>
          </w:p>
        </w:tc>
        <w:tc>
          <w:tcPr>
            <w:tcW w:w="5687" w:type="dxa"/>
          </w:tcPr>
          <w:p w:rsidR="00D13D75" w:rsidRPr="00C461B7" w:rsidRDefault="00D13D75" w:rsidP="00C461B7">
            <w:pPr>
              <w:tabs>
                <w:tab w:val="left" w:pos="709"/>
              </w:tabs>
              <w:spacing w:after="0"/>
              <w:jc w:val="both"/>
              <w:rPr>
                <w:rFonts w:ascii="Times New Roman" w:hAnsi="Times New Roman"/>
                <w:sz w:val="26"/>
                <w:szCs w:val="26"/>
                <w:lang w:val="uk-UA"/>
              </w:rPr>
            </w:pPr>
            <w:r w:rsidRPr="00C461B7">
              <w:rPr>
                <w:rFonts w:ascii="Times New Roman" w:hAnsi="Times New Roman"/>
                <w:sz w:val="26"/>
                <w:szCs w:val="26"/>
                <w:lang w:val="uk-UA"/>
              </w:rPr>
              <w:t xml:space="preserve">Фінансування  згідно  ПРОГРАМИ </w:t>
            </w:r>
            <w:r>
              <w:rPr>
                <w:rFonts w:ascii="Times New Roman" w:hAnsi="Times New Roman"/>
                <w:sz w:val="26"/>
                <w:szCs w:val="26"/>
                <w:lang w:val="uk-UA"/>
              </w:rPr>
              <w:t>«</w:t>
            </w:r>
            <w:r w:rsidRPr="00C461B7">
              <w:rPr>
                <w:rFonts w:ascii="Times New Roman" w:hAnsi="Times New Roman"/>
                <w:sz w:val="26"/>
                <w:szCs w:val="26"/>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w:t>
            </w:r>
            <w:r>
              <w:rPr>
                <w:rFonts w:ascii="Times New Roman" w:hAnsi="Times New Roman"/>
                <w:sz w:val="26"/>
                <w:szCs w:val="26"/>
                <w:lang w:val="uk-UA"/>
              </w:rPr>
              <w:t>»</w:t>
            </w:r>
            <w:r w:rsidRPr="00C461B7">
              <w:rPr>
                <w:rFonts w:ascii="Times New Roman" w:hAnsi="Times New Roman"/>
                <w:sz w:val="26"/>
                <w:szCs w:val="26"/>
                <w:lang w:val="uk-UA"/>
              </w:rPr>
              <w:t xml:space="preserve"> на 2019-2020 роки.</w:t>
            </w:r>
          </w:p>
        </w:tc>
        <w:tc>
          <w:tcPr>
            <w:tcW w:w="1852"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808,3</w:t>
            </w:r>
          </w:p>
        </w:tc>
        <w:tc>
          <w:tcPr>
            <w:tcW w:w="1529"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804,8</w:t>
            </w:r>
          </w:p>
        </w:tc>
      </w:tr>
      <w:tr w:rsidR="00D13D75" w:rsidRPr="00C461B7" w:rsidTr="0018025E">
        <w:trPr>
          <w:trHeight w:val="1125"/>
        </w:trPr>
        <w:tc>
          <w:tcPr>
            <w:tcW w:w="1154"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sz w:val="26"/>
                <w:szCs w:val="26"/>
                <w:lang w:val="uk-UA"/>
              </w:rPr>
              <w:t>2</w:t>
            </w:r>
          </w:p>
        </w:tc>
        <w:tc>
          <w:tcPr>
            <w:tcW w:w="5687"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sz w:val="26"/>
                <w:szCs w:val="26"/>
                <w:lang w:val="uk-UA"/>
              </w:rPr>
              <w:t xml:space="preserve"> 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w:t>
            </w:r>
            <w:r>
              <w:rPr>
                <w:rFonts w:ascii="Times New Roman" w:hAnsi="Times New Roman"/>
                <w:sz w:val="26"/>
                <w:szCs w:val="26"/>
                <w:lang w:val="uk-UA"/>
              </w:rPr>
              <w:t>«</w:t>
            </w:r>
            <w:r w:rsidRPr="00C461B7">
              <w:rPr>
                <w:rFonts w:ascii="Times New Roman" w:hAnsi="Times New Roman"/>
                <w:sz w:val="26"/>
                <w:szCs w:val="26"/>
                <w:lang w:val="uk-UA"/>
              </w:rPr>
              <w:t>Дохід</w:t>
            </w:r>
            <w:r>
              <w:rPr>
                <w:rFonts w:ascii="Times New Roman" w:hAnsi="Times New Roman"/>
                <w:sz w:val="26"/>
                <w:szCs w:val="26"/>
                <w:lang w:val="uk-UA"/>
              </w:rPr>
              <w:t>»</w:t>
            </w:r>
            <w:r w:rsidRPr="00C461B7">
              <w:rPr>
                <w:rFonts w:ascii="Times New Roman" w:hAnsi="Times New Roman"/>
                <w:sz w:val="26"/>
                <w:szCs w:val="26"/>
                <w:lang w:val="uk-UA"/>
              </w:rPr>
              <w:t xml:space="preserve"> </w:t>
            </w:r>
          </w:p>
        </w:tc>
        <w:tc>
          <w:tcPr>
            <w:tcW w:w="1852"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18,0</w:t>
            </w:r>
          </w:p>
        </w:tc>
        <w:tc>
          <w:tcPr>
            <w:tcW w:w="1529"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17,8</w:t>
            </w:r>
          </w:p>
        </w:tc>
      </w:tr>
      <w:tr w:rsidR="00D13D75" w:rsidRPr="00C461B7" w:rsidTr="0018025E">
        <w:trPr>
          <w:trHeight w:val="1526"/>
        </w:trPr>
        <w:tc>
          <w:tcPr>
            <w:tcW w:w="1154"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sz w:val="26"/>
                <w:szCs w:val="26"/>
                <w:lang w:val="uk-UA"/>
              </w:rPr>
              <w:t>3</w:t>
            </w:r>
          </w:p>
        </w:tc>
        <w:tc>
          <w:tcPr>
            <w:tcW w:w="5687"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sz w:val="26"/>
                <w:szCs w:val="26"/>
                <w:lang w:val="uk-UA"/>
              </w:rPr>
              <w:t>Інші фінансові доходи п.10.(ПРОГРАМИ</w:t>
            </w:r>
            <w:r w:rsidRPr="00C461B7">
              <w:rPr>
                <w:rFonts w:ascii="Times New Roman" w:hAnsi="Times New Roman"/>
                <w:sz w:val="26"/>
                <w:szCs w:val="26"/>
                <w:lang w:val="uk-UA"/>
              </w:rPr>
              <w:br/>
            </w:r>
            <w:r>
              <w:rPr>
                <w:rFonts w:ascii="Times New Roman" w:hAnsi="Times New Roman"/>
                <w:sz w:val="26"/>
                <w:szCs w:val="26"/>
                <w:lang w:val="uk-UA"/>
              </w:rPr>
              <w:t>«</w:t>
            </w:r>
            <w:r w:rsidRPr="00C461B7">
              <w:rPr>
                <w:rFonts w:ascii="Times New Roman" w:hAnsi="Times New Roman"/>
                <w:sz w:val="26"/>
                <w:szCs w:val="26"/>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w:t>
            </w:r>
            <w:r>
              <w:rPr>
                <w:rFonts w:ascii="Times New Roman" w:hAnsi="Times New Roman"/>
                <w:sz w:val="26"/>
                <w:szCs w:val="26"/>
                <w:lang w:val="uk-UA"/>
              </w:rPr>
              <w:t>»</w:t>
            </w:r>
            <w:r w:rsidRPr="00C461B7">
              <w:rPr>
                <w:rFonts w:ascii="Times New Roman" w:hAnsi="Times New Roman"/>
                <w:sz w:val="26"/>
                <w:szCs w:val="26"/>
                <w:lang w:val="uk-UA"/>
              </w:rPr>
              <w:t xml:space="preserve">  у 2019-2020роках.(</w:t>
            </w:r>
            <w:r w:rsidRPr="00C461B7">
              <w:rPr>
                <w:rFonts w:ascii="Times New Roman" w:hAnsi="Times New Roman"/>
                <w:b/>
                <w:bCs/>
                <w:sz w:val="26"/>
                <w:szCs w:val="26"/>
                <w:lang w:val="uk-UA"/>
              </w:rPr>
              <w:t>Поповнення статутного капіталу підприємства</w:t>
            </w:r>
            <w:r w:rsidRPr="00C461B7">
              <w:rPr>
                <w:rFonts w:ascii="Times New Roman" w:hAnsi="Times New Roman"/>
                <w:sz w:val="26"/>
                <w:szCs w:val="26"/>
                <w:lang w:val="uk-UA"/>
              </w:rPr>
              <w:t xml:space="preserve">) </w:t>
            </w:r>
          </w:p>
        </w:tc>
        <w:tc>
          <w:tcPr>
            <w:tcW w:w="1852"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0</w:t>
            </w:r>
          </w:p>
          <w:p w:rsidR="00D13D75" w:rsidRPr="00C461B7" w:rsidRDefault="00D13D75" w:rsidP="00C461B7">
            <w:pPr>
              <w:spacing w:after="0"/>
              <w:jc w:val="center"/>
              <w:rPr>
                <w:rFonts w:ascii="Times New Roman" w:hAnsi="Times New Roman"/>
                <w:sz w:val="26"/>
                <w:szCs w:val="26"/>
                <w:lang w:val="uk-UA"/>
              </w:rPr>
            </w:pPr>
          </w:p>
        </w:tc>
        <w:tc>
          <w:tcPr>
            <w:tcW w:w="1529"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249,3</w:t>
            </w:r>
          </w:p>
        </w:tc>
      </w:tr>
      <w:tr w:rsidR="00D13D75" w:rsidRPr="00C461B7" w:rsidTr="0018025E">
        <w:trPr>
          <w:trHeight w:val="433"/>
        </w:trPr>
        <w:tc>
          <w:tcPr>
            <w:tcW w:w="1154"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b/>
                <w:sz w:val="26"/>
                <w:szCs w:val="26"/>
                <w:lang w:val="uk-UA"/>
              </w:rPr>
              <w:t>Усього доходів</w:t>
            </w:r>
          </w:p>
        </w:tc>
        <w:tc>
          <w:tcPr>
            <w:tcW w:w="5687" w:type="dxa"/>
          </w:tcPr>
          <w:p w:rsidR="00D13D75" w:rsidRPr="00C461B7" w:rsidRDefault="00D13D75" w:rsidP="00C461B7">
            <w:pPr>
              <w:spacing w:after="0"/>
              <w:rPr>
                <w:rFonts w:ascii="Times New Roman" w:hAnsi="Times New Roman"/>
                <w:b/>
                <w:sz w:val="26"/>
                <w:szCs w:val="26"/>
                <w:lang w:val="uk-UA"/>
              </w:rPr>
            </w:pPr>
            <w:r>
              <w:rPr>
                <w:rFonts w:ascii="Times New Roman" w:hAnsi="Times New Roman"/>
                <w:b/>
                <w:sz w:val="26"/>
                <w:szCs w:val="26"/>
                <w:lang w:val="uk-UA"/>
              </w:rPr>
              <w:t xml:space="preserve"> (</w:t>
            </w:r>
            <w:r w:rsidRPr="00C461B7">
              <w:rPr>
                <w:rFonts w:ascii="Times New Roman" w:hAnsi="Times New Roman"/>
                <w:b/>
                <w:sz w:val="26"/>
                <w:szCs w:val="26"/>
                <w:lang w:val="uk-UA"/>
              </w:rPr>
              <w:t>код рядка 1210)</w:t>
            </w:r>
          </w:p>
        </w:tc>
        <w:tc>
          <w:tcPr>
            <w:tcW w:w="1852"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826,3</w:t>
            </w:r>
          </w:p>
        </w:tc>
        <w:tc>
          <w:tcPr>
            <w:tcW w:w="1529"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1071,9</w:t>
            </w:r>
          </w:p>
        </w:tc>
      </w:tr>
    </w:tbl>
    <w:p w:rsidR="00D13D75" w:rsidRPr="00C461B7" w:rsidRDefault="00D13D75" w:rsidP="00C461B7">
      <w:pPr>
        <w:shd w:val="clear" w:color="auto" w:fill="FFFFFF"/>
        <w:spacing w:after="0"/>
        <w:ind w:firstLine="708"/>
        <w:textAlignment w:val="baseline"/>
        <w:rPr>
          <w:rFonts w:ascii="Times New Roman" w:hAnsi="Times New Roman"/>
          <w:sz w:val="26"/>
          <w:szCs w:val="26"/>
          <w:lang w:val="uk-UA"/>
        </w:rPr>
      </w:pPr>
    </w:p>
    <w:p w:rsidR="00D13D75" w:rsidRDefault="00D13D75" w:rsidP="00C461B7">
      <w:pPr>
        <w:shd w:val="clear" w:color="auto" w:fill="FFFFFF"/>
        <w:spacing w:after="0"/>
        <w:ind w:firstLine="708"/>
        <w:textAlignment w:val="baseline"/>
        <w:rPr>
          <w:rFonts w:ascii="Times New Roman" w:hAnsi="Times New Roman"/>
          <w:sz w:val="26"/>
          <w:szCs w:val="26"/>
          <w:lang w:val="uk-UA"/>
        </w:rPr>
      </w:pPr>
      <w:r w:rsidRPr="00C461B7">
        <w:rPr>
          <w:rFonts w:ascii="Times New Roman" w:hAnsi="Times New Roman"/>
          <w:sz w:val="26"/>
          <w:szCs w:val="26"/>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p w:rsidR="00D13D75" w:rsidRPr="00C461B7" w:rsidRDefault="00D13D75" w:rsidP="00C461B7">
      <w:pPr>
        <w:shd w:val="clear" w:color="auto" w:fill="FFFFFF"/>
        <w:spacing w:after="0"/>
        <w:textAlignment w:val="baseline"/>
        <w:rPr>
          <w:rFonts w:ascii="Times New Roman" w:hAnsi="Times New Roman"/>
          <w:sz w:val="26"/>
          <w:szCs w:val="26"/>
          <w:lang w:val="uk-UA"/>
        </w:rPr>
      </w:pPr>
    </w:p>
    <w:p w:rsidR="00D13D75" w:rsidRPr="00C461B7" w:rsidRDefault="00D13D75" w:rsidP="00C461B7">
      <w:pPr>
        <w:tabs>
          <w:tab w:val="left" w:pos="708"/>
          <w:tab w:val="left" w:pos="1416"/>
          <w:tab w:val="left" w:pos="2124"/>
        </w:tabs>
        <w:spacing w:after="0"/>
        <w:rPr>
          <w:rFonts w:ascii="Times New Roman" w:hAnsi="Times New Roman"/>
          <w:b/>
          <w:sz w:val="26"/>
          <w:szCs w:val="26"/>
          <w:lang w:val="uk-UA"/>
        </w:rPr>
      </w:pPr>
      <w:r w:rsidRPr="00C461B7">
        <w:rPr>
          <w:rFonts w:ascii="Times New Roman" w:hAnsi="Times New Roman"/>
          <w:b/>
          <w:sz w:val="26"/>
          <w:szCs w:val="26"/>
          <w:lang w:val="uk-UA"/>
        </w:rPr>
        <w:t>ВИТРАТИ:</w:t>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b/>
          <w:sz w:val="26"/>
          <w:szCs w:val="26"/>
          <w:lang w:val="uk-UA"/>
        </w:rPr>
        <w:tab/>
      </w:r>
      <w:r w:rsidRPr="00C461B7">
        <w:rPr>
          <w:rFonts w:ascii="Times New Roman" w:hAnsi="Times New Roman"/>
          <w:sz w:val="26"/>
          <w:szCs w:val="26"/>
          <w:lang w:val="uk-UA"/>
        </w:rPr>
        <w:t>тис. грн.</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
        <w:gridCol w:w="5572"/>
        <w:gridCol w:w="1800"/>
        <w:gridCol w:w="1406"/>
      </w:tblGrid>
      <w:tr w:rsidR="00D13D75" w:rsidRPr="00C461B7" w:rsidTr="00E550CF">
        <w:trPr>
          <w:trHeight w:val="603"/>
        </w:trPr>
        <w:tc>
          <w:tcPr>
            <w:tcW w:w="1016"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 з/п</w:t>
            </w:r>
          </w:p>
        </w:tc>
        <w:tc>
          <w:tcPr>
            <w:tcW w:w="5572"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Стаття витрат</w:t>
            </w:r>
          </w:p>
        </w:tc>
        <w:tc>
          <w:tcPr>
            <w:tcW w:w="1800"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План 2019рік</w:t>
            </w:r>
          </w:p>
        </w:tc>
        <w:tc>
          <w:tcPr>
            <w:tcW w:w="1406"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Факт</w:t>
            </w:r>
          </w:p>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2019 року</w:t>
            </w:r>
          </w:p>
        </w:tc>
      </w:tr>
      <w:tr w:rsidR="00D13D75" w:rsidRPr="00C461B7" w:rsidTr="00E550CF">
        <w:trPr>
          <w:trHeight w:val="360"/>
        </w:trPr>
        <w:tc>
          <w:tcPr>
            <w:tcW w:w="1016"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sz w:val="26"/>
                <w:szCs w:val="26"/>
                <w:lang w:val="uk-UA"/>
              </w:rPr>
              <w:t>1</w:t>
            </w:r>
          </w:p>
        </w:tc>
        <w:tc>
          <w:tcPr>
            <w:tcW w:w="5572" w:type="dxa"/>
          </w:tcPr>
          <w:p w:rsidR="00D13D75" w:rsidRPr="00C461B7" w:rsidRDefault="00D13D75" w:rsidP="00C461B7">
            <w:pPr>
              <w:tabs>
                <w:tab w:val="left" w:pos="709"/>
              </w:tabs>
              <w:spacing w:after="0"/>
              <w:jc w:val="both"/>
              <w:rPr>
                <w:rFonts w:ascii="Times New Roman" w:hAnsi="Times New Roman"/>
                <w:sz w:val="26"/>
                <w:szCs w:val="26"/>
                <w:lang w:val="uk-UA"/>
              </w:rPr>
            </w:pPr>
            <w:r w:rsidRPr="00C461B7">
              <w:rPr>
                <w:rFonts w:ascii="Times New Roman" w:hAnsi="Times New Roman"/>
                <w:sz w:val="26"/>
                <w:szCs w:val="26"/>
                <w:lang w:val="uk-UA"/>
              </w:rPr>
              <w:t>Адміністративні витрати</w:t>
            </w:r>
          </w:p>
        </w:tc>
        <w:tc>
          <w:tcPr>
            <w:tcW w:w="1800"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826,3</w:t>
            </w:r>
          </w:p>
        </w:tc>
        <w:tc>
          <w:tcPr>
            <w:tcW w:w="1406"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822,6</w:t>
            </w:r>
          </w:p>
        </w:tc>
      </w:tr>
      <w:tr w:rsidR="00D13D75" w:rsidRPr="00C461B7" w:rsidTr="00E550CF">
        <w:trPr>
          <w:trHeight w:val="360"/>
        </w:trPr>
        <w:tc>
          <w:tcPr>
            <w:tcW w:w="1016"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sz w:val="26"/>
                <w:szCs w:val="26"/>
                <w:lang w:val="uk-UA"/>
              </w:rPr>
              <w:t>2</w:t>
            </w:r>
          </w:p>
        </w:tc>
        <w:tc>
          <w:tcPr>
            <w:tcW w:w="5572" w:type="dxa"/>
          </w:tcPr>
          <w:p w:rsidR="00D13D75" w:rsidRPr="00C461B7" w:rsidRDefault="00D13D75" w:rsidP="00C461B7">
            <w:pPr>
              <w:tabs>
                <w:tab w:val="left" w:pos="709"/>
              </w:tabs>
              <w:spacing w:after="0"/>
              <w:jc w:val="both"/>
              <w:rPr>
                <w:rFonts w:ascii="Times New Roman" w:hAnsi="Times New Roman"/>
                <w:sz w:val="26"/>
                <w:szCs w:val="26"/>
                <w:lang w:val="uk-UA"/>
              </w:rPr>
            </w:pPr>
            <w:r w:rsidRPr="00C461B7">
              <w:rPr>
                <w:rFonts w:ascii="Times New Roman" w:hAnsi="Times New Roman"/>
                <w:sz w:val="26"/>
                <w:szCs w:val="26"/>
                <w:lang w:val="uk-UA"/>
              </w:rPr>
              <w:t>Фінансові витрати</w:t>
            </w:r>
          </w:p>
        </w:tc>
        <w:tc>
          <w:tcPr>
            <w:tcW w:w="1800"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0,0</w:t>
            </w:r>
          </w:p>
        </w:tc>
        <w:tc>
          <w:tcPr>
            <w:tcW w:w="1406"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249,3</w:t>
            </w:r>
          </w:p>
        </w:tc>
      </w:tr>
      <w:tr w:rsidR="00D13D75" w:rsidRPr="00C461B7" w:rsidTr="00E550CF">
        <w:trPr>
          <w:trHeight w:val="406"/>
        </w:trPr>
        <w:tc>
          <w:tcPr>
            <w:tcW w:w="1016" w:type="dxa"/>
          </w:tcPr>
          <w:p w:rsidR="00D13D75" w:rsidRPr="00C461B7" w:rsidRDefault="00D13D75" w:rsidP="00C461B7">
            <w:pPr>
              <w:spacing w:after="0"/>
              <w:rPr>
                <w:rFonts w:ascii="Times New Roman" w:hAnsi="Times New Roman"/>
                <w:sz w:val="26"/>
                <w:szCs w:val="26"/>
                <w:lang w:val="uk-UA"/>
              </w:rPr>
            </w:pPr>
            <w:r w:rsidRPr="00C461B7">
              <w:rPr>
                <w:rFonts w:ascii="Times New Roman" w:hAnsi="Times New Roman"/>
                <w:sz w:val="26"/>
                <w:szCs w:val="26"/>
                <w:lang w:val="uk-UA"/>
              </w:rPr>
              <w:t>Усього витрат</w:t>
            </w:r>
          </w:p>
        </w:tc>
        <w:tc>
          <w:tcPr>
            <w:tcW w:w="5572" w:type="dxa"/>
          </w:tcPr>
          <w:p w:rsidR="00D13D75" w:rsidRPr="00C461B7" w:rsidRDefault="00D13D75" w:rsidP="00C461B7">
            <w:pPr>
              <w:spacing w:after="0"/>
              <w:rPr>
                <w:rFonts w:ascii="Times New Roman" w:hAnsi="Times New Roman"/>
                <w:b/>
                <w:sz w:val="26"/>
                <w:szCs w:val="26"/>
                <w:lang w:val="uk-UA"/>
              </w:rPr>
            </w:pPr>
            <w:r w:rsidRPr="00C461B7">
              <w:rPr>
                <w:rFonts w:ascii="Times New Roman" w:hAnsi="Times New Roman"/>
                <w:b/>
                <w:sz w:val="26"/>
                <w:szCs w:val="26"/>
                <w:lang w:val="uk-UA"/>
              </w:rPr>
              <w:t>( код рядка 1220)</w:t>
            </w:r>
          </w:p>
        </w:tc>
        <w:tc>
          <w:tcPr>
            <w:tcW w:w="1800"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826,3</w:t>
            </w:r>
          </w:p>
        </w:tc>
        <w:tc>
          <w:tcPr>
            <w:tcW w:w="1406" w:type="dxa"/>
          </w:tcPr>
          <w:p w:rsidR="00D13D75" w:rsidRPr="00C461B7" w:rsidRDefault="00D13D75" w:rsidP="00C461B7">
            <w:pPr>
              <w:spacing w:after="0"/>
              <w:jc w:val="center"/>
              <w:rPr>
                <w:rFonts w:ascii="Times New Roman" w:hAnsi="Times New Roman"/>
                <w:sz w:val="26"/>
                <w:szCs w:val="26"/>
                <w:lang w:val="uk-UA"/>
              </w:rPr>
            </w:pPr>
            <w:r w:rsidRPr="00C461B7">
              <w:rPr>
                <w:rFonts w:ascii="Times New Roman" w:hAnsi="Times New Roman"/>
                <w:sz w:val="26"/>
                <w:szCs w:val="26"/>
                <w:lang w:val="uk-UA"/>
              </w:rPr>
              <w:t>1071,9</w:t>
            </w:r>
          </w:p>
        </w:tc>
      </w:tr>
    </w:tbl>
    <w:p w:rsidR="00D13D75" w:rsidRPr="00C461B7" w:rsidRDefault="00D13D75" w:rsidP="00C461B7">
      <w:pPr>
        <w:pStyle w:val="NormalWeb"/>
        <w:widowControl w:val="0"/>
        <w:shd w:val="clear" w:color="auto" w:fill="FFFFFF"/>
        <w:spacing w:before="0" w:beforeAutospacing="0" w:after="0" w:afterAutospacing="0"/>
        <w:jc w:val="both"/>
        <w:rPr>
          <w:sz w:val="26"/>
          <w:szCs w:val="26"/>
          <w:lang w:val="uk-UA"/>
        </w:rPr>
      </w:pPr>
    </w:p>
    <w:p w:rsidR="00D13D75" w:rsidRPr="00C461B7" w:rsidRDefault="00D13D75" w:rsidP="00C461B7">
      <w:pPr>
        <w:pStyle w:val="NormalWeb"/>
        <w:widowControl w:val="0"/>
        <w:shd w:val="clear" w:color="auto" w:fill="FFFFFF"/>
        <w:spacing w:before="0" w:beforeAutospacing="0" w:after="0" w:afterAutospacing="0"/>
        <w:ind w:firstLine="708"/>
        <w:jc w:val="both"/>
        <w:rPr>
          <w:sz w:val="26"/>
          <w:szCs w:val="26"/>
          <w:lang w:val="uk-UA"/>
        </w:rPr>
      </w:pPr>
      <w:r w:rsidRPr="00C461B7">
        <w:rPr>
          <w:sz w:val="26"/>
          <w:szCs w:val="26"/>
          <w:lang w:val="uk-UA"/>
        </w:rPr>
        <w:t xml:space="preserve">Діяльність підприємства спрямована на забезпечення поетапного та якісного виконання пріоритетних завдань та заходів ПРОГРАМИ </w:t>
      </w:r>
      <w:r>
        <w:rPr>
          <w:sz w:val="26"/>
          <w:szCs w:val="26"/>
          <w:lang w:val="uk-UA"/>
        </w:rPr>
        <w:t>«</w:t>
      </w:r>
      <w:r w:rsidRPr="00C461B7">
        <w:rPr>
          <w:sz w:val="26"/>
          <w:szCs w:val="26"/>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w:t>
      </w:r>
      <w:r>
        <w:rPr>
          <w:sz w:val="26"/>
          <w:szCs w:val="26"/>
          <w:lang w:val="uk-UA"/>
        </w:rPr>
        <w:t>»</w:t>
      </w:r>
      <w:r w:rsidRPr="00C461B7">
        <w:rPr>
          <w:sz w:val="26"/>
          <w:szCs w:val="26"/>
          <w:lang w:val="uk-UA"/>
        </w:rPr>
        <w:t xml:space="preserve"> на 2019-2020 роки, та активного залучення кредитних та грантових коштів на реалізацію проектів.</w:t>
      </w:r>
    </w:p>
    <w:p w:rsidR="00D13D75" w:rsidRPr="00C461B7" w:rsidRDefault="00D13D75" w:rsidP="00C461B7">
      <w:pPr>
        <w:tabs>
          <w:tab w:val="left" w:pos="0"/>
        </w:tabs>
        <w:spacing w:after="0"/>
        <w:jc w:val="both"/>
        <w:rPr>
          <w:rFonts w:ascii="Times New Roman" w:hAnsi="Times New Roman"/>
          <w:bCs/>
          <w:sz w:val="26"/>
          <w:szCs w:val="26"/>
          <w:lang w:val="uk-UA"/>
        </w:rPr>
      </w:pPr>
      <w:r w:rsidRPr="00C461B7">
        <w:rPr>
          <w:rFonts w:ascii="Times New Roman" w:hAnsi="Times New Roman"/>
          <w:sz w:val="26"/>
          <w:szCs w:val="26"/>
          <w:lang w:val="uk-UA"/>
        </w:rPr>
        <w:tab/>
        <w:t>Згідно рішення п</w:t>
      </w:r>
      <w:r>
        <w:rPr>
          <w:rFonts w:ascii="Times New Roman" w:hAnsi="Times New Roman"/>
          <w:sz w:val="26"/>
          <w:szCs w:val="26"/>
          <w:lang w:val="uk-UA"/>
        </w:rPr>
        <w:t xml:space="preserve">’ятдесят другої </w:t>
      </w:r>
      <w:r w:rsidRPr="00C461B7">
        <w:rPr>
          <w:rFonts w:ascii="Times New Roman" w:hAnsi="Times New Roman"/>
          <w:sz w:val="26"/>
          <w:szCs w:val="26"/>
          <w:lang w:val="uk-UA"/>
        </w:rPr>
        <w:t>с</w:t>
      </w:r>
      <w:r>
        <w:rPr>
          <w:rFonts w:ascii="Times New Roman" w:hAnsi="Times New Roman"/>
          <w:sz w:val="26"/>
          <w:szCs w:val="26"/>
          <w:lang w:val="uk-UA"/>
        </w:rPr>
        <w:t xml:space="preserve">есії Нетішинської міської ради </w:t>
      </w:r>
      <w:r w:rsidRPr="00C461B7">
        <w:rPr>
          <w:rFonts w:ascii="Times New Roman" w:hAnsi="Times New Roman"/>
          <w:sz w:val="26"/>
          <w:szCs w:val="26"/>
          <w:lang w:val="uk-UA"/>
        </w:rPr>
        <w:t xml:space="preserve">VІІ скликання від 01 </w:t>
      </w:r>
      <w:r>
        <w:rPr>
          <w:rFonts w:ascii="Times New Roman" w:hAnsi="Times New Roman"/>
          <w:sz w:val="26"/>
          <w:szCs w:val="26"/>
          <w:lang w:val="uk-UA"/>
        </w:rPr>
        <w:t>березня 2019 року №52/3513 «Про</w:t>
      </w:r>
      <w:r w:rsidRPr="00C461B7">
        <w:rPr>
          <w:rFonts w:ascii="Times New Roman" w:hAnsi="Times New Roman"/>
          <w:sz w:val="26"/>
          <w:szCs w:val="26"/>
          <w:lang w:val="uk-UA"/>
        </w:rPr>
        <w:t xml:space="preserve"> збільшення розміру статутного капіталу та затвердження статуту комунального підприємства Нетішинської міської ради </w:t>
      </w:r>
      <w:r>
        <w:rPr>
          <w:rFonts w:ascii="Times New Roman" w:hAnsi="Times New Roman"/>
          <w:sz w:val="26"/>
          <w:szCs w:val="26"/>
          <w:lang w:val="uk-UA"/>
        </w:rPr>
        <w:t>«</w:t>
      </w:r>
      <w:r w:rsidRPr="00C461B7">
        <w:rPr>
          <w:rFonts w:ascii="Times New Roman" w:hAnsi="Times New Roman"/>
          <w:sz w:val="26"/>
          <w:szCs w:val="26"/>
          <w:lang w:val="uk-UA"/>
        </w:rPr>
        <w:t>Агенція місцевого розвитку</w:t>
      </w:r>
      <w:r>
        <w:rPr>
          <w:rFonts w:ascii="Times New Roman" w:hAnsi="Times New Roman"/>
          <w:sz w:val="26"/>
          <w:szCs w:val="26"/>
          <w:lang w:val="uk-UA"/>
        </w:rPr>
        <w:t>»</w:t>
      </w:r>
      <w:r w:rsidRPr="00C461B7">
        <w:rPr>
          <w:rFonts w:ascii="Times New Roman" w:hAnsi="Times New Roman"/>
          <w:sz w:val="26"/>
          <w:szCs w:val="26"/>
          <w:lang w:val="uk-UA"/>
        </w:rPr>
        <w:t xml:space="preserve"> передбачено кошти у розмірі 1 000 000 грн. для надання комунальним підприємством поворотної фінансової допомоги для підтримки і розвитку житлового фонду міст</w:t>
      </w:r>
      <w:r>
        <w:rPr>
          <w:rFonts w:ascii="Times New Roman" w:hAnsi="Times New Roman"/>
          <w:sz w:val="26"/>
          <w:szCs w:val="26"/>
          <w:lang w:val="uk-UA"/>
        </w:rPr>
        <w:t xml:space="preserve">а Нетішина. З другого кварталу </w:t>
      </w:r>
      <w:r w:rsidRPr="00C461B7">
        <w:rPr>
          <w:rFonts w:ascii="Times New Roman" w:hAnsi="Times New Roman"/>
          <w:sz w:val="26"/>
          <w:szCs w:val="26"/>
          <w:lang w:val="uk-UA"/>
        </w:rPr>
        <w:t xml:space="preserve">2019 року активно здійснювалася робота  з </w:t>
      </w:r>
      <w:r w:rsidRPr="00C461B7">
        <w:rPr>
          <w:rFonts w:ascii="Times New Roman" w:hAnsi="Times New Roman"/>
          <w:bCs/>
          <w:sz w:val="26"/>
          <w:szCs w:val="26"/>
          <w:lang w:val="uk-UA"/>
        </w:rPr>
        <w:t xml:space="preserve">надання комунальним підприємством Нетішинської міської ради </w:t>
      </w:r>
      <w:r>
        <w:rPr>
          <w:rFonts w:ascii="Times New Roman" w:hAnsi="Times New Roman"/>
          <w:bCs/>
          <w:sz w:val="26"/>
          <w:szCs w:val="26"/>
          <w:lang w:val="uk-UA"/>
        </w:rPr>
        <w:t>«</w:t>
      </w:r>
      <w:r w:rsidRPr="00C461B7">
        <w:rPr>
          <w:rFonts w:ascii="Times New Roman" w:hAnsi="Times New Roman"/>
          <w:bCs/>
          <w:sz w:val="26"/>
          <w:szCs w:val="26"/>
          <w:lang w:val="uk-UA"/>
        </w:rPr>
        <w:t>Агенція місцевого розвитку</w:t>
      </w:r>
      <w:r>
        <w:rPr>
          <w:rFonts w:ascii="Times New Roman" w:hAnsi="Times New Roman"/>
          <w:bCs/>
          <w:sz w:val="26"/>
          <w:szCs w:val="26"/>
          <w:lang w:val="uk-UA"/>
        </w:rPr>
        <w:t>»</w:t>
      </w:r>
      <w:r w:rsidRPr="00C461B7">
        <w:rPr>
          <w:rFonts w:ascii="Times New Roman" w:hAnsi="Times New Roman"/>
          <w:bCs/>
          <w:sz w:val="26"/>
          <w:szCs w:val="26"/>
          <w:lang w:val="uk-UA"/>
        </w:rPr>
        <w:t xml:space="preserve"> поворотної фінансової допомоги для підтримки і розвитку житлового фонду міста Нетішин . Отримано кошти в сумі 249255,49 грн., які згідно звернень були розподілені та надані у вигляді поворотної фінансової допомоги  ОСББ міста Нетішина. Комунальним підприємством наприкінці  2019 року  отримані кошти було повернуто до виконавчого комітету Нетішинської міської ради.</w:t>
      </w:r>
    </w:p>
    <w:p w:rsidR="00D13D75" w:rsidRPr="00C461B7" w:rsidRDefault="00D13D75" w:rsidP="00C461B7">
      <w:pPr>
        <w:pStyle w:val="NormalWeb"/>
        <w:widowControl w:val="0"/>
        <w:shd w:val="clear" w:color="auto" w:fill="FFFFFF"/>
        <w:spacing w:before="0" w:beforeAutospacing="0" w:after="0" w:afterAutospacing="0"/>
        <w:ind w:firstLine="708"/>
        <w:jc w:val="both"/>
        <w:rPr>
          <w:sz w:val="26"/>
          <w:szCs w:val="26"/>
          <w:lang w:val="uk-UA"/>
        </w:rPr>
      </w:pPr>
    </w:p>
    <w:p w:rsidR="00D13D75" w:rsidRPr="00C461B7" w:rsidRDefault="00D13D75" w:rsidP="00C461B7">
      <w:pPr>
        <w:pStyle w:val="NormalWeb"/>
        <w:widowControl w:val="0"/>
        <w:shd w:val="clear" w:color="auto" w:fill="FFFFFF"/>
        <w:spacing w:before="0" w:beforeAutospacing="0" w:after="0" w:afterAutospacing="0"/>
        <w:ind w:firstLine="708"/>
        <w:jc w:val="both"/>
        <w:rPr>
          <w:sz w:val="26"/>
          <w:szCs w:val="26"/>
          <w:lang w:val="uk-UA"/>
        </w:rPr>
      </w:pPr>
    </w:p>
    <w:p w:rsidR="00D13D75" w:rsidRPr="00C461B7" w:rsidRDefault="00D13D75" w:rsidP="00C461B7">
      <w:pPr>
        <w:pStyle w:val="NormalWeb"/>
        <w:widowControl w:val="0"/>
        <w:shd w:val="clear" w:color="auto" w:fill="FFFFFF"/>
        <w:spacing w:before="0" w:beforeAutospacing="0" w:after="0" w:afterAutospacing="0"/>
        <w:ind w:firstLine="708"/>
        <w:jc w:val="both"/>
        <w:rPr>
          <w:sz w:val="26"/>
          <w:szCs w:val="26"/>
          <w:lang w:val="uk-UA"/>
        </w:rPr>
      </w:pPr>
    </w:p>
    <w:p w:rsidR="00D13D75" w:rsidRPr="00C461B7" w:rsidRDefault="00D13D75" w:rsidP="00C461B7">
      <w:pPr>
        <w:spacing w:after="0"/>
        <w:ind w:firstLine="708"/>
        <w:rPr>
          <w:rFonts w:ascii="Times New Roman" w:hAnsi="Times New Roman"/>
          <w:sz w:val="26"/>
          <w:szCs w:val="26"/>
          <w:lang w:val="uk-UA"/>
        </w:rPr>
      </w:pPr>
    </w:p>
    <w:p w:rsidR="00D13D75" w:rsidRPr="00630A5C" w:rsidRDefault="00D13D75" w:rsidP="00630A5C">
      <w:pPr>
        <w:spacing w:after="0"/>
        <w:rPr>
          <w:rFonts w:ascii="Times New Roman" w:hAnsi="Times New Roman"/>
          <w:sz w:val="26"/>
          <w:szCs w:val="26"/>
          <w:lang w:val="uk-UA"/>
        </w:rPr>
      </w:pPr>
      <w:r w:rsidRPr="00C461B7">
        <w:rPr>
          <w:rFonts w:ascii="Times New Roman" w:hAnsi="Times New Roman"/>
          <w:sz w:val="26"/>
          <w:szCs w:val="26"/>
          <w:lang w:val="uk-UA"/>
        </w:rPr>
        <w:t>Директор</w:t>
      </w:r>
      <w:r w:rsidRPr="00C461B7">
        <w:rPr>
          <w:rFonts w:ascii="Times New Roman" w:hAnsi="Times New Roman"/>
          <w:sz w:val="26"/>
          <w:szCs w:val="26"/>
          <w:lang w:val="uk-UA"/>
        </w:rPr>
        <w:tab/>
      </w:r>
      <w:r w:rsidRPr="00C461B7">
        <w:rPr>
          <w:rFonts w:ascii="Times New Roman" w:hAnsi="Times New Roman"/>
          <w:sz w:val="26"/>
          <w:szCs w:val="26"/>
          <w:lang w:val="uk-UA"/>
        </w:rPr>
        <w:tab/>
      </w:r>
      <w:r w:rsidRPr="00C461B7">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t xml:space="preserve">                     </w:t>
      </w:r>
      <w:r w:rsidRPr="00C461B7">
        <w:rPr>
          <w:rFonts w:ascii="Times New Roman" w:hAnsi="Times New Roman"/>
          <w:sz w:val="26"/>
          <w:szCs w:val="26"/>
          <w:lang w:val="uk-UA"/>
        </w:rPr>
        <w:t>Костянтин КИРИЛЮК</w:t>
      </w:r>
    </w:p>
    <w:sectPr w:rsidR="00D13D75" w:rsidRPr="00630A5C" w:rsidSect="00C461B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15"/>
    <w:rsid w:val="00027399"/>
    <w:rsid w:val="000370BC"/>
    <w:rsid w:val="00083D23"/>
    <w:rsid w:val="00085995"/>
    <w:rsid w:val="0018025E"/>
    <w:rsid w:val="001910E9"/>
    <w:rsid w:val="001E53DD"/>
    <w:rsid w:val="0027199B"/>
    <w:rsid w:val="002F3E04"/>
    <w:rsid w:val="003051D9"/>
    <w:rsid w:val="00350F4C"/>
    <w:rsid w:val="00380C5D"/>
    <w:rsid w:val="004056DD"/>
    <w:rsid w:val="00411E55"/>
    <w:rsid w:val="00493C4D"/>
    <w:rsid w:val="004C6A69"/>
    <w:rsid w:val="00502E9F"/>
    <w:rsid w:val="00546D9E"/>
    <w:rsid w:val="00550753"/>
    <w:rsid w:val="005761E9"/>
    <w:rsid w:val="005E09C1"/>
    <w:rsid w:val="00630A5C"/>
    <w:rsid w:val="00630F99"/>
    <w:rsid w:val="00682A74"/>
    <w:rsid w:val="0068326F"/>
    <w:rsid w:val="006A6615"/>
    <w:rsid w:val="006C2AAC"/>
    <w:rsid w:val="0074526E"/>
    <w:rsid w:val="007C512C"/>
    <w:rsid w:val="00844D37"/>
    <w:rsid w:val="0088122D"/>
    <w:rsid w:val="008B26A7"/>
    <w:rsid w:val="008F66C3"/>
    <w:rsid w:val="0098048D"/>
    <w:rsid w:val="00991E1C"/>
    <w:rsid w:val="009F26A9"/>
    <w:rsid w:val="00A10260"/>
    <w:rsid w:val="00AA2105"/>
    <w:rsid w:val="00AF5FEA"/>
    <w:rsid w:val="00B117F8"/>
    <w:rsid w:val="00B11EE1"/>
    <w:rsid w:val="00B60D1D"/>
    <w:rsid w:val="00BE2353"/>
    <w:rsid w:val="00C22F3D"/>
    <w:rsid w:val="00C253DB"/>
    <w:rsid w:val="00C461B7"/>
    <w:rsid w:val="00C519D4"/>
    <w:rsid w:val="00CB669C"/>
    <w:rsid w:val="00CE1D21"/>
    <w:rsid w:val="00D13D75"/>
    <w:rsid w:val="00D3367C"/>
    <w:rsid w:val="00D56B2A"/>
    <w:rsid w:val="00E5064F"/>
    <w:rsid w:val="00E550CF"/>
    <w:rsid w:val="00E563BB"/>
    <w:rsid w:val="00E90C10"/>
    <w:rsid w:val="00E91F0C"/>
    <w:rsid w:val="00EA5D9D"/>
    <w:rsid w:val="00EC489B"/>
    <w:rsid w:val="00F62E81"/>
    <w:rsid w:val="00FD73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9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A6615"/>
    <w:rPr>
      <w:rFonts w:cs="Times New Roman"/>
      <w:b/>
      <w:bC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6A66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493C4D"/>
    <w:pPr>
      <w:ind w:left="720"/>
      <w:contextualSpacing/>
    </w:pPr>
  </w:style>
  <w:style w:type="paragraph" w:styleId="BodyText">
    <w:name w:val="Body Text"/>
    <w:basedOn w:val="Normal"/>
    <w:link w:val="BodyTextChar"/>
    <w:uiPriority w:val="99"/>
    <w:rsid w:val="00B60D1D"/>
    <w:pPr>
      <w:spacing w:after="0"/>
      <w:jc w:val="both"/>
    </w:pPr>
    <w:rPr>
      <w:rFonts w:ascii="Times New Roman" w:hAnsi="Times New Roman"/>
      <w:sz w:val="28"/>
      <w:szCs w:val="20"/>
      <w:lang w:val="en-US"/>
    </w:rPr>
  </w:style>
  <w:style w:type="character" w:customStyle="1" w:styleId="BodyTextChar">
    <w:name w:val="Body Text Char"/>
    <w:basedOn w:val="DefaultParagraphFont"/>
    <w:link w:val="BodyText"/>
    <w:uiPriority w:val="99"/>
    <w:locked/>
    <w:rsid w:val="00B60D1D"/>
    <w:rPr>
      <w:rFonts w:ascii="Times New Roman" w:hAnsi="Times New Roman" w:cs="Times New Roman"/>
      <w:sz w:val="20"/>
      <w:szCs w:val="20"/>
      <w:lang w:val="en-US"/>
    </w:rPr>
  </w:style>
  <w:style w:type="paragraph" w:customStyle="1" w:styleId="ListParagraph1">
    <w:name w:val="List Paragraph1"/>
    <w:basedOn w:val="Normal"/>
    <w:uiPriority w:val="99"/>
    <w:rsid w:val="00EC489B"/>
    <w:pPr>
      <w:spacing w:after="160" w:line="256"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428848463">
      <w:marLeft w:val="0"/>
      <w:marRight w:val="0"/>
      <w:marTop w:val="0"/>
      <w:marBottom w:val="0"/>
      <w:divBdr>
        <w:top w:val="none" w:sz="0" w:space="0" w:color="auto"/>
        <w:left w:val="none" w:sz="0" w:space="0" w:color="auto"/>
        <w:bottom w:val="none" w:sz="0" w:space="0" w:color="auto"/>
        <w:right w:val="none" w:sz="0" w:space="0" w:color="auto"/>
      </w:divBdr>
    </w:div>
    <w:div w:id="1428848464">
      <w:marLeft w:val="0"/>
      <w:marRight w:val="0"/>
      <w:marTop w:val="0"/>
      <w:marBottom w:val="0"/>
      <w:divBdr>
        <w:top w:val="none" w:sz="0" w:space="0" w:color="auto"/>
        <w:left w:val="none" w:sz="0" w:space="0" w:color="auto"/>
        <w:bottom w:val="none" w:sz="0" w:space="0" w:color="auto"/>
        <w:right w:val="none" w:sz="0" w:space="0" w:color="auto"/>
      </w:divBdr>
    </w:div>
    <w:div w:id="1428848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497</TotalTime>
  <Pages>2</Pages>
  <Words>621</Words>
  <Characters>3545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Таня</cp:lastModifiedBy>
  <cp:revision>16</cp:revision>
  <cp:lastPrinted>2020-02-13T10:20:00Z</cp:lastPrinted>
  <dcterms:created xsi:type="dcterms:W3CDTF">2018-11-02T13:00:00Z</dcterms:created>
  <dcterms:modified xsi:type="dcterms:W3CDTF">2020-02-25T09:13:00Z</dcterms:modified>
</cp:coreProperties>
</file>